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DCF3" w14:textId="77777777" w:rsidR="004D3520" w:rsidRDefault="004D3520" w:rsidP="004D3520">
      <w:pPr>
        <w:pStyle w:val="Zwykytekst"/>
        <w:jc w:val="both"/>
        <w:rPr>
          <w:rFonts w:asciiTheme="minorHAnsi" w:hAnsiTheme="minorHAnsi" w:cstheme="minorHAnsi"/>
          <w:b/>
          <w:bCs/>
          <w:sz w:val="28"/>
          <w:szCs w:val="28"/>
        </w:rPr>
      </w:pPr>
    </w:p>
    <w:p w14:paraId="06960BCA" w14:textId="25F1D477" w:rsidR="004D3520" w:rsidRPr="00E75658" w:rsidRDefault="00FC2237" w:rsidP="004D3520">
      <w:pPr>
        <w:pStyle w:val="Zwykytekst"/>
        <w:jc w:val="both"/>
        <w:rPr>
          <w:rFonts w:asciiTheme="minorHAnsi" w:hAnsiTheme="minorHAnsi" w:cstheme="minorHAnsi"/>
          <w:b/>
          <w:bCs/>
          <w:sz w:val="28"/>
          <w:szCs w:val="28"/>
        </w:rPr>
      </w:pPr>
      <w:r>
        <w:rPr>
          <w:rFonts w:asciiTheme="minorHAnsi" w:hAnsiTheme="minorHAnsi" w:cstheme="minorHAnsi"/>
          <w:b/>
          <w:bCs/>
          <w:sz w:val="28"/>
          <w:szCs w:val="28"/>
        </w:rPr>
        <w:t>O</w:t>
      </w:r>
      <w:r w:rsidR="004D3520" w:rsidRPr="00E75658">
        <w:rPr>
          <w:rFonts w:asciiTheme="minorHAnsi" w:hAnsiTheme="minorHAnsi" w:cstheme="minorHAnsi"/>
          <w:b/>
          <w:bCs/>
          <w:sz w:val="28"/>
          <w:szCs w:val="28"/>
        </w:rPr>
        <w:t>dpowiedzi na najczęściej zadawane pytania, które pojawia</w:t>
      </w:r>
      <w:r>
        <w:rPr>
          <w:rFonts w:asciiTheme="minorHAnsi" w:hAnsiTheme="minorHAnsi" w:cstheme="minorHAnsi"/>
          <w:b/>
          <w:bCs/>
          <w:sz w:val="28"/>
          <w:szCs w:val="28"/>
        </w:rPr>
        <w:t>ją</w:t>
      </w:r>
      <w:r w:rsidR="004D3520" w:rsidRPr="00E75658">
        <w:rPr>
          <w:rFonts w:asciiTheme="minorHAnsi" w:hAnsiTheme="minorHAnsi" w:cstheme="minorHAnsi"/>
          <w:b/>
          <w:bCs/>
          <w:sz w:val="28"/>
          <w:szCs w:val="28"/>
        </w:rPr>
        <w:t xml:space="preserve"> się </w:t>
      </w:r>
      <w:r w:rsidR="004D3520">
        <w:rPr>
          <w:rFonts w:asciiTheme="minorHAnsi" w:hAnsiTheme="minorHAnsi" w:cstheme="minorHAnsi"/>
          <w:b/>
          <w:bCs/>
          <w:sz w:val="28"/>
          <w:szCs w:val="28"/>
        </w:rPr>
        <w:t>podczas</w:t>
      </w:r>
      <w:r w:rsidR="004D3520" w:rsidRPr="00E75658">
        <w:rPr>
          <w:rFonts w:asciiTheme="minorHAnsi" w:hAnsiTheme="minorHAnsi" w:cstheme="minorHAnsi"/>
          <w:b/>
          <w:bCs/>
          <w:sz w:val="28"/>
          <w:szCs w:val="28"/>
        </w:rPr>
        <w:t xml:space="preserve"> wypełniania wniosku w ramach </w:t>
      </w:r>
      <w:r w:rsidR="004D3520">
        <w:rPr>
          <w:rFonts w:asciiTheme="minorHAnsi" w:hAnsiTheme="minorHAnsi" w:cstheme="minorHAnsi"/>
          <w:b/>
          <w:bCs/>
          <w:sz w:val="28"/>
          <w:szCs w:val="28"/>
        </w:rPr>
        <w:t>T</w:t>
      </w:r>
      <w:r w:rsidR="004D3520" w:rsidRPr="00E75658">
        <w:rPr>
          <w:rFonts w:asciiTheme="minorHAnsi" w:hAnsiTheme="minorHAnsi" w:cstheme="minorHAnsi"/>
          <w:b/>
          <w:bCs/>
          <w:sz w:val="28"/>
          <w:szCs w:val="28"/>
        </w:rPr>
        <w:t>a</w:t>
      </w:r>
      <w:r w:rsidR="004D3520">
        <w:rPr>
          <w:rFonts w:asciiTheme="minorHAnsi" w:hAnsiTheme="minorHAnsi" w:cstheme="minorHAnsi"/>
          <w:b/>
          <w:bCs/>
          <w:sz w:val="28"/>
          <w:szCs w:val="28"/>
        </w:rPr>
        <w:t>r</w:t>
      </w:r>
      <w:r w:rsidR="004D3520" w:rsidRPr="00E75658">
        <w:rPr>
          <w:rFonts w:asciiTheme="minorHAnsi" w:hAnsiTheme="minorHAnsi" w:cstheme="minorHAnsi"/>
          <w:b/>
          <w:bCs/>
          <w:sz w:val="28"/>
          <w:szCs w:val="28"/>
        </w:rPr>
        <w:t>czy finansowej PFR</w:t>
      </w:r>
    </w:p>
    <w:p w14:paraId="454EF2EA" w14:textId="77777777" w:rsidR="004D3520" w:rsidRDefault="004D3520" w:rsidP="004D3520">
      <w:pPr>
        <w:pStyle w:val="Zwykytekst"/>
        <w:jc w:val="both"/>
        <w:rPr>
          <w:rFonts w:asciiTheme="minorHAnsi" w:hAnsiTheme="minorHAnsi" w:cstheme="minorHAnsi"/>
          <w:b/>
          <w:bCs/>
        </w:rPr>
      </w:pPr>
    </w:p>
    <w:p w14:paraId="00C9CD22" w14:textId="77777777" w:rsidR="004D3520" w:rsidRDefault="004D3520" w:rsidP="004D3520">
      <w:pPr>
        <w:pStyle w:val="Zwykytekst"/>
        <w:jc w:val="both"/>
        <w:rPr>
          <w:rFonts w:asciiTheme="minorHAnsi" w:hAnsiTheme="minorHAnsi" w:cstheme="minorHAnsi"/>
          <w:b/>
          <w:bCs/>
        </w:rPr>
      </w:pPr>
      <w:r>
        <w:rPr>
          <w:rFonts w:asciiTheme="minorHAnsi" w:hAnsiTheme="minorHAnsi" w:cstheme="minorHAnsi"/>
          <w:b/>
          <w:bCs/>
        </w:rPr>
        <w:t xml:space="preserve">Więcej informacji, odpowiedz na inne pytania oraz regulamin </w:t>
      </w:r>
      <w:r w:rsidRPr="00E75658">
        <w:rPr>
          <w:rFonts w:asciiTheme="minorHAnsi" w:hAnsiTheme="minorHAnsi" w:cstheme="minorHAnsi"/>
          <w:b/>
          <w:bCs/>
        </w:rPr>
        <w:t>ubiegania się o subwencję z programu rządowego – Tarcza Finansowa Polskiego Funduszu Rozwoju dla Mikro, Małych i Średnich Firm</w:t>
      </w:r>
      <w:r>
        <w:rPr>
          <w:rFonts w:asciiTheme="minorHAnsi" w:hAnsiTheme="minorHAnsi" w:cstheme="minorHAnsi"/>
          <w:b/>
          <w:bCs/>
        </w:rPr>
        <w:t xml:space="preserve"> znajdą Państwo na stronie: </w:t>
      </w:r>
      <w:hyperlink r:id="rId8" w:history="1">
        <w:r w:rsidRPr="00C6014E">
          <w:rPr>
            <w:rStyle w:val="Hipercze"/>
            <w:rFonts w:asciiTheme="minorHAnsi" w:hAnsiTheme="minorHAnsi" w:cstheme="minorHAnsi"/>
            <w:b/>
            <w:bCs/>
          </w:rPr>
          <w:t>https://pfrsa.pl/tarcza-finansowa-pfr/tarcza-finansowa-pfr-dla-mmsp.html</w:t>
        </w:r>
      </w:hyperlink>
    </w:p>
    <w:p w14:paraId="58CF47D3" w14:textId="77777777" w:rsidR="004D3520" w:rsidRDefault="004D3520" w:rsidP="004D3520">
      <w:pPr>
        <w:pStyle w:val="Zwykytekst"/>
        <w:jc w:val="both"/>
        <w:rPr>
          <w:rFonts w:asciiTheme="minorHAnsi" w:hAnsiTheme="minorHAnsi" w:cstheme="minorBidi"/>
        </w:rPr>
      </w:pPr>
    </w:p>
    <w:p w14:paraId="23034585" w14:textId="77777777" w:rsidR="004D3520" w:rsidRPr="000B7B5C" w:rsidRDefault="004D3520" w:rsidP="004D3520">
      <w:pPr>
        <w:pStyle w:val="Zwykytekst"/>
        <w:ind w:left="720"/>
        <w:jc w:val="both"/>
        <w:rPr>
          <w:rFonts w:asciiTheme="minorHAnsi" w:hAnsiTheme="minorHAnsi" w:cstheme="minorHAnsi"/>
        </w:rPr>
      </w:pPr>
    </w:p>
    <w:p w14:paraId="305F8811" w14:textId="70658BC5" w:rsidR="004D3520" w:rsidRPr="000B7B5C" w:rsidRDefault="004D3520" w:rsidP="000B7B5C">
      <w:pPr>
        <w:pStyle w:val="Zwykytekst"/>
        <w:numPr>
          <w:ilvl w:val="0"/>
          <w:numId w:val="28"/>
        </w:numPr>
        <w:spacing w:before="100" w:beforeAutospacing="1" w:after="120"/>
        <w:jc w:val="both"/>
        <w:rPr>
          <w:rFonts w:asciiTheme="minorHAnsi" w:hAnsiTheme="minorHAnsi" w:cstheme="minorHAnsi"/>
          <w:b/>
          <w:bCs/>
        </w:rPr>
      </w:pPr>
      <w:r w:rsidRPr="000B7B5C">
        <w:rPr>
          <w:rFonts w:asciiTheme="minorHAnsi" w:hAnsiTheme="minorHAnsi" w:cstheme="minorHAnsi"/>
          <w:b/>
          <w:bCs/>
        </w:rPr>
        <w:t>Czy w ramach ubiegania się o subwencję mogę wskazać luty 2020r. jako miesiąc spadku obrotów gospodarczych?</w:t>
      </w:r>
    </w:p>
    <w:p w14:paraId="5BF3BBCE"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Nie. Wielkość spadku przychodów ze sprzedaży należy ustalać dla dowolnego miesiąca po 1 lutego 2020 r. w porównaniu do poprzedniego miesiąca lub analogicznego miesiąca ubiegłego roku w związku z zakłóceniami gospodarki na skutek COVID-19. Pierwszym miesiącem po 1 lutego 2020 r. jest marzec 2020 r. W konsekwencji do końca kwietnia, jako pierwszy miesiąc, w którym przedsiębiorca odnotował spadek przychodów ze sprzedaży, powinien zostać wskazany marzec 2020 r. </w:t>
      </w:r>
    </w:p>
    <w:p w14:paraId="3078C08D"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Spadek przychodów ze sprzedaży w marcu 2020 r. należy porównać do przychodów ze sprzedaży w lutym 2020 r. Alternatywnie, spadek przychodów ze sprzedaży w marcu 2020 r. może zostać porównany do przychodów ze sprzedaży z marca 2019 r. Dalej – spadek przychodów ze sprzedaży w kwietniu 2020 r. może zostać porównany do przychodów ze sprzedaży w marcu 2020 r. albo kwietniu 2019 r. (wedle wyboru przedsiębiorcy).</w:t>
      </w:r>
    </w:p>
    <w:p w14:paraId="237FBE96" w14:textId="77777777" w:rsidR="004D3520" w:rsidRPr="000B7B5C" w:rsidRDefault="004D3520" w:rsidP="000B7B5C">
      <w:pPr>
        <w:pStyle w:val="NormalnyWeb"/>
        <w:numPr>
          <w:ilvl w:val="0"/>
          <w:numId w:val="28"/>
        </w:numPr>
        <w:spacing w:after="120" w:afterAutospacing="0"/>
        <w:jc w:val="both"/>
        <w:rPr>
          <w:rFonts w:asciiTheme="minorHAnsi" w:hAnsiTheme="minorHAnsi" w:cstheme="minorHAnsi"/>
          <w:sz w:val="22"/>
          <w:szCs w:val="22"/>
        </w:rPr>
      </w:pPr>
      <w:r w:rsidRPr="000B7B5C">
        <w:rPr>
          <w:rFonts w:asciiTheme="minorHAnsi" w:hAnsiTheme="minorHAnsi" w:cstheme="minorHAnsi"/>
          <w:b/>
          <w:bCs/>
          <w:sz w:val="22"/>
          <w:szCs w:val="22"/>
        </w:rPr>
        <w:t>Co będzie brane pod uwagę przy weryfikacji spadku obrotów ?</w:t>
      </w:r>
      <w:r w:rsidRPr="000B7B5C">
        <w:rPr>
          <w:rFonts w:asciiTheme="minorHAnsi" w:hAnsiTheme="minorHAnsi" w:cstheme="minorHAnsi"/>
          <w:sz w:val="22"/>
          <w:szCs w:val="22"/>
        </w:rPr>
        <w:t> </w:t>
      </w:r>
    </w:p>
    <w:p w14:paraId="76BF4067" w14:textId="77777777" w:rsidR="004D3520" w:rsidRPr="000B7B5C" w:rsidRDefault="004D3520" w:rsidP="000B7B5C">
      <w:pPr>
        <w:pStyle w:val="NormalnyWeb"/>
        <w:spacing w:after="120" w:afterAutospacing="0"/>
        <w:jc w:val="both"/>
        <w:rPr>
          <w:rFonts w:asciiTheme="minorHAnsi" w:hAnsiTheme="minorHAnsi" w:cstheme="minorHAnsi"/>
          <w:sz w:val="22"/>
          <w:szCs w:val="22"/>
        </w:rPr>
      </w:pPr>
      <w:r w:rsidRPr="000B7B5C">
        <w:rPr>
          <w:rFonts w:asciiTheme="minorHAnsi" w:hAnsiTheme="minorHAnsi" w:cstheme="minorBidi"/>
          <w:sz w:val="22"/>
          <w:szCs w:val="22"/>
        </w:rPr>
        <w:t>Weryfikacja spadków obrotów będzie odbywała się na podstawie deklaracji VAT-7 (w przypadku podmiotów rozliczających się miesięcznie), VAT_JPK (w przypadku podmiotów rozliczających się kwartalnie) oraz oświadczenia zawartego w umowie subwencji składanego z uwzględnieniem dostępnych dokumentów księgowych, w tym RZIS (w przypadku podmiotów nie rozliczających podatku VAT.</w:t>
      </w:r>
    </w:p>
    <w:p w14:paraId="2216AD4D" w14:textId="77777777" w:rsidR="004D3520" w:rsidRPr="000B7B5C" w:rsidRDefault="004D3520" w:rsidP="000B7B5C">
      <w:pPr>
        <w:pStyle w:val="Zwykytekst"/>
        <w:numPr>
          <w:ilvl w:val="0"/>
          <w:numId w:val="28"/>
        </w:numPr>
        <w:spacing w:before="100" w:beforeAutospacing="1" w:after="120"/>
        <w:jc w:val="both"/>
        <w:rPr>
          <w:rFonts w:asciiTheme="minorHAnsi" w:hAnsiTheme="minorHAnsi" w:cstheme="minorBidi"/>
        </w:rPr>
      </w:pPr>
      <w:r w:rsidRPr="000B7B5C">
        <w:rPr>
          <w:rFonts w:asciiTheme="minorHAnsi" w:hAnsiTheme="minorHAnsi" w:cstheme="minorBidi"/>
          <w:b/>
          <w:bCs/>
        </w:rPr>
        <w:t>Czy dane wprowadzane we wniosku o przyznanie pomocy są weryfikowane przez PFR?</w:t>
      </w:r>
    </w:p>
    <w:p w14:paraId="2167011B"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Tak. Są weryfikowane na podstawie danych z rejestrów publicznych. Na tej podstawie podejmowana jest decyzja odnośnie przyznania subwencji. </w:t>
      </w:r>
    </w:p>
    <w:p w14:paraId="07A22B6C"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t>Dlatego niezwykle ważne jest, aby przedsiębiorca złożył odpowiednio wcześniej np. deklarację VAT  za miesiąc, dla którego przedsiębiorca wykazuje spadek obrotów, aby uniknąć odrzucenia wniosku.</w:t>
      </w:r>
    </w:p>
    <w:p w14:paraId="0E05351C"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t xml:space="preserve">Przed złożeniem wniosku o subwencję należy sprawdzić, czy od skutecznego złożenia deklaracji VAT-7 we właściwym Urzędzie Skarbowym minęły co najmniej 4 dni kalendarzowe, a w przypadku podatników rozliczających się kwartalnie z VAT, co najmniej 7 dni kalendarzowych od złożenia JPK_VAT. </w:t>
      </w:r>
    </w:p>
    <w:p w14:paraId="78D31A0E"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p>
    <w:p w14:paraId="4CCAF5BA" w14:textId="26F94C23"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lastRenderedPageBreak/>
        <w:t>Proces walidacji wniosków wymaga przetworzenia danych w rejestrach publicznych. Złożenie wniosku o subwencję wcześniej rodzi ryzyko jego odrzucenia przez PFR.</w:t>
      </w:r>
    </w:p>
    <w:p w14:paraId="74032402" w14:textId="3830037D"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b/>
          <w:bCs/>
        </w:rPr>
      </w:pPr>
      <w:r w:rsidRPr="000B7B5C">
        <w:rPr>
          <w:b/>
          <w:bCs/>
        </w:rPr>
        <w:t>Ja obliczać stan zatrudnienia, który należy podać we wniosku o przyznanie subwencji ?</w:t>
      </w:r>
    </w:p>
    <w:p w14:paraId="2BBA433F" w14:textId="2502AD9A" w:rsidR="004D3520" w:rsidRPr="000B7B5C" w:rsidRDefault="004D3520" w:rsidP="000B7B5C">
      <w:pPr>
        <w:spacing w:before="100" w:beforeAutospacing="1" w:after="120" w:line="240" w:lineRule="auto"/>
        <w:jc w:val="both"/>
        <w:rPr>
          <w:rFonts w:cstheme="minorHAnsi"/>
          <w:color w:val="000000"/>
        </w:rPr>
      </w:pPr>
      <w:r w:rsidRPr="000B7B5C">
        <w:rPr>
          <w:rFonts w:cstheme="minorHAnsi"/>
          <w:color w:val="000000"/>
        </w:rPr>
        <w:t xml:space="preserve">Przedsiębiorca wnioskujący o udzielenie subwencji finansowej będący </w:t>
      </w:r>
      <w:proofErr w:type="spellStart"/>
      <w:r w:rsidRPr="000B7B5C">
        <w:rPr>
          <w:rFonts w:cstheme="minorHAnsi"/>
          <w:b/>
          <w:bCs/>
          <w:color w:val="000000"/>
        </w:rPr>
        <w:t>Mikrof</w:t>
      </w:r>
      <w:r w:rsidR="000B7B5C" w:rsidRPr="000B7B5C">
        <w:rPr>
          <w:rFonts w:cstheme="minorHAnsi"/>
          <w:b/>
          <w:bCs/>
          <w:color w:val="000000"/>
        </w:rPr>
        <w:t>i</w:t>
      </w:r>
      <w:r w:rsidRPr="000B7B5C">
        <w:rPr>
          <w:rFonts w:cstheme="minorHAnsi"/>
          <w:b/>
          <w:bCs/>
          <w:color w:val="000000"/>
        </w:rPr>
        <w:t>rmą</w:t>
      </w:r>
      <w:proofErr w:type="spellEnd"/>
      <w:r w:rsidRPr="000B7B5C">
        <w:rPr>
          <w:rFonts w:cstheme="minorHAnsi"/>
          <w:b/>
          <w:bCs/>
          <w:color w:val="000000"/>
        </w:rPr>
        <w:t xml:space="preserve"> </w:t>
      </w:r>
      <w:r w:rsidRPr="000B7B5C">
        <w:rPr>
          <w:rFonts w:cstheme="minorHAnsi"/>
          <w:color w:val="000000"/>
        </w:rPr>
        <w:t>we wniosku o przyznanie subwencji będzie musiał oświadczyć jaką liczbę osób zatrudniał:</w:t>
      </w:r>
    </w:p>
    <w:p w14:paraId="23B29DC2" w14:textId="77777777"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ostatni dzień miesiąca poprzedzającego miesiąc złożenia wniosku;</w:t>
      </w:r>
    </w:p>
    <w:p w14:paraId="165AD519" w14:textId="77777777"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dzień 31 grudnia 2019 r.;</w:t>
      </w:r>
    </w:p>
    <w:p w14:paraId="6C85197C" w14:textId="1D0BAD7B"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koniec miesiąca odpowiadającego nazwie miesiąca złożenia wniosku w roku poprzednim.</w:t>
      </w:r>
    </w:p>
    <w:p w14:paraId="492F96FE"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Przedsiębiorca będący </w:t>
      </w:r>
      <w:r w:rsidRPr="000B7B5C">
        <w:rPr>
          <w:rFonts w:cstheme="minorHAnsi"/>
          <w:b/>
          <w:bCs/>
          <w:color w:val="000000"/>
        </w:rPr>
        <w:t xml:space="preserve">MŚP </w:t>
      </w:r>
      <w:r w:rsidRPr="000B7B5C">
        <w:rPr>
          <w:rFonts w:cstheme="minorHAnsi"/>
          <w:color w:val="000000"/>
        </w:rPr>
        <w:t>oświadczą o stanie zatrudnienia na ostatni dzień miesiąca poprzedzającego miesiąc złożenia wniosku.</w:t>
      </w:r>
    </w:p>
    <w:p w14:paraId="0E07EAF8" w14:textId="640B0EA4" w:rsidR="004D3520" w:rsidRPr="000B7B5C" w:rsidRDefault="004D3520" w:rsidP="000B7B5C">
      <w:pPr>
        <w:spacing w:before="100" w:beforeAutospacing="1" w:after="120" w:line="240" w:lineRule="auto"/>
        <w:jc w:val="both"/>
        <w:rPr>
          <w:rFonts w:cstheme="minorHAnsi"/>
          <w:color w:val="000000"/>
          <w:u w:val="single"/>
        </w:rPr>
      </w:pPr>
      <w:r w:rsidRPr="000B7B5C">
        <w:rPr>
          <w:rFonts w:cstheme="minorHAnsi"/>
          <w:color w:val="000000"/>
          <w:u w:val="single"/>
        </w:rPr>
        <w:t>Ważne: Jeśli liczba pracowników wyliczona dla tych pól we wniosku nie będzie liczbą całkowitą, należy zaokrąglić liczbę "w górę".</w:t>
      </w:r>
    </w:p>
    <w:p w14:paraId="60CDDE85" w14:textId="77777777" w:rsidR="004D3520" w:rsidRPr="000B7B5C" w:rsidRDefault="004D3520" w:rsidP="000B7B5C">
      <w:pPr>
        <w:spacing w:before="100" w:beforeAutospacing="1" w:after="120" w:line="240" w:lineRule="auto"/>
        <w:jc w:val="both"/>
        <w:rPr>
          <w:rFonts w:cstheme="minorHAnsi"/>
          <w:color w:val="000000"/>
        </w:rPr>
      </w:pPr>
      <w:r w:rsidRPr="000B7B5C">
        <w:rPr>
          <w:rFonts w:cstheme="minorHAnsi"/>
          <w:color w:val="000000"/>
        </w:rPr>
        <w:t xml:space="preserve">Dla określenia powyższego stanu zatrudnienia (zatrudnienie na potrzeby wyliczenia kwoty subwencji) przez pracownika należy rozumieć osobę fizyczną: </w:t>
      </w:r>
    </w:p>
    <w:p w14:paraId="54DE7785" w14:textId="77777777" w:rsidR="004D3520" w:rsidRPr="000B7B5C" w:rsidRDefault="004D3520" w:rsidP="000B7B5C">
      <w:pPr>
        <w:pStyle w:val="Akapitzlist"/>
        <w:widowControl w:val="0"/>
        <w:numPr>
          <w:ilvl w:val="0"/>
          <w:numId w:val="25"/>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 xml:space="preserve">która zgodnie z przepisami polskiego prawa pozostaje z przedsiębiorcą w stosunku pracy oraz została zgłoszona przez przedsiębiorcę do ubezpieczeń społecznych na dzień ustalenia stanu zatrudnienia przedsiębiorcy na potrzeby określenia kwoty subwencji finansowej, z zastrzeżeniem, że stan zatrudnienia określa się w przeliczeniu na pełny wymiar czasu pracy; oraz </w:t>
      </w:r>
    </w:p>
    <w:p w14:paraId="0006469E" w14:textId="0657076A" w:rsidR="004D3520" w:rsidRPr="000B7B5C" w:rsidRDefault="004D3520" w:rsidP="000B7B5C">
      <w:pPr>
        <w:pStyle w:val="Akapitzlist"/>
        <w:widowControl w:val="0"/>
        <w:numPr>
          <w:ilvl w:val="0"/>
          <w:numId w:val="25"/>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współpracująca z przedsiębiorcą, niezależnie od formy prawnej (w szczególności na podstawie umów cywilnoprawnych np. umowy zlecenia), która była zgłoszona przez przedsiębiorcę do ubezpieczeń społecznych, na dzień ustalania stanu zatrudnienia na potrzeby określenia kwoty subwencji finansowej.</w:t>
      </w:r>
    </w:p>
    <w:p w14:paraId="0BCFCBE1" w14:textId="77777777" w:rsidR="004D3520" w:rsidRPr="000B7B5C" w:rsidRDefault="004D3520" w:rsidP="000B7B5C">
      <w:pPr>
        <w:spacing w:before="100" w:beforeAutospacing="1" w:after="120"/>
        <w:jc w:val="both"/>
        <w:rPr>
          <w:rFonts w:cs="Segoe UI"/>
        </w:rPr>
      </w:pPr>
      <w:r w:rsidRPr="000B7B5C">
        <w:rPr>
          <w:color w:val="000000" w:themeColor="text1"/>
        </w:rPr>
        <w:t xml:space="preserve">Wyjaśnienie o szczegółowym sposobie ustalania stanu zatrudnienia znajdą Państwo tutaj: </w:t>
      </w:r>
      <w:hyperlink r:id="rId9" w:history="1">
        <w:r w:rsidRPr="000B7B5C">
          <w:rPr>
            <w:rStyle w:val="Hipercze"/>
            <w:rFonts w:cs="Segoe UI"/>
          </w:rPr>
          <w:t>https://pfrsa.pl/dam/jcr:997d60c7-2f85-493a-b79b-a66e32af04b5/tarcza-pfr-okreslanie-liczby-pracownikow.pdf</w:t>
        </w:r>
      </w:hyperlink>
    </w:p>
    <w:p w14:paraId="6B9A9E46" w14:textId="66352B36" w:rsidR="004D3520" w:rsidRPr="000B7B5C" w:rsidRDefault="004D3520" w:rsidP="000B7B5C">
      <w:pPr>
        <w:pStyle w:val="Akapitzlist"/>
        <w:widowControl w:val="0"/>
        <w:numPr>
          <w:ilvl w:val="0"/>
          <w:numId w:val="28"/>
        </w:numPr>
        <w:autoSpaceDE w:val="0"/>
        <w:autoSpaceDN w:val="0"/>
        <w:adjustRightInd w:val="0"/>
        <w:spacing w:before="100" w:beforeAutospacing="1" w:after="120" w:line="240" w:lineRule="auto"/>
        <w:jc w:val="both"/>
        <w:rPr>
          <w:b/>
          <w:bCs/>
          <w:color w:val="000000"/>
        </w:rPr>
      </w:pPr>
      <w:r w:rsidRPr="000B7B5C">
        <w:rPr>
          <w:b/>
          <w:bCs/>
          <w:color w:val="000000" w:themeColor="text1"/>
        </w:rPr>
        <w:t>Czy każdy może złożyć wniosek o subwencję w imieniu przedsiębiorcy?</w:t>
      </w:r>
    </w:p>
    <w:p w14:paraId="20C7A058" w14:textId="77777777" w:rsidR="000B7B5C" w:rsidRPr="000B7B5C" w:rsidRDefault="000B7B5C" w:rsidP="000B7B5C">
      <w:pPr>
        <w:pStyle w:val="Akapitzlist"/>
        <w:widowControl w:val="0"/>
        <w:autoSpaceDE w:val="0"/>
        <w:autoSpaceDN w:val="0"/>
        <w:adjustRightInd w:val="0"/>
        <w:spacing w:before="100" w:beforeAutospacing="1" w:after="120" w:line="240" w:lineRule="auto"/>
        <w:jc w:val="both"/>
        <w:rPr>
          <w:b/>
          <w:bCs/>
          <w:color w:val="000000"/>
        </w:rPr>
      </w:pPr>
    </w:p>
    <w:p w14:paraId="25B6D76C"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Nie, wniosek o subwencję może zostać złożony przez:</w:t>
      </w:r>
    </w:p>
    <w:p w14:paraId="7273049A" w14:textId="77777777" w:rsidR="004D3520" w:rsidRPr="000B7B5C" w:rsidRDefault="004D3520" w:rsidP="000B7B5C">
      <w:pPr>
        <w:pStyle w:val="Akapitzlist"/>
        <w:numPr>
          <w:ilvl w:val="0"/>
          <w:numId w:val="26"/>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osobę upoważnioną przez przedsiębiorcę - taka osoba wcześniej powinna zostać upoważniona do złożenia wniosku i wymaganych oświadczeń na podstawie pełnomocnictwa. Wzór pełnomocnictwa stanowi Załącznik nr 2 do Regulaminu ubiegania się o udział w Programie Rządowym „Tarcza Finansowa Polskiego Funduszu Rozwoju dla Małych i Średnich Firm” lub</w:t>
      </w:r>
    </w:p>
    <w:p w14:paraId="418474E4" w14:textId="77777777" w:rsidR="004D3520" w:rsidRPr="000B7B5C" w:rsidRDefault="004D3520" w:rsidP="000B7B5C">
      <w:pPr>
        <w:pStyle w:val="Akapitzlist"/>
        <w:numPr>
          <w:ilvl w:val="0"/>
          <w:numId w:val="26"/>
        </w:numPr>
        <w:autoSpaceDE w:val="0"/>
        <w:autoSpaceDN w:val="0"/>
        <w:adjustRightInd w:val="0"/>
        <w:spacing w:before="100" w:beforeAutospacing="1" w:after="120" w:line="240" w:lineRule="auto"/>
        <w:jc w:val="both"/>
        <w:rPr>
          <w:rFonts w:cstheme="minorHAnsi"/>
          <w:color w:val="000000"/>
        </w:rPr>
      </w:pPr>
      <w:r w:rsidRPr="000B7B5C">
        <w:rPr>
          <w:rFonts w:cstheme="minorHAnsi"/>
        </w:rPr>
        <w:t>osobę uprawnioną do samodzielnej reprezentacji przedsiębiorcy, jak członek jego organu lub innego rodzaju przedstawiciel, którego dane są zamieszczone w Krajowym Rejestrze Sądowym lub w Centralnej Ewidencji i Informacji o Działalności Gospodarczej.</w:t>
      </w:r>
    </w:p>
    <w:p w14:paraId="11852CDE"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p>
    <w:p w14:paraId="3463E404" w14:textId="53C40EC6"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Przedsiębiorca jest zobowiązany dostarczyć do banku nie później niż do 31 grudnia 2020 r. dokumenty m.in. potwierdzające, że osoba podpisująca i składająca wniosek była umocowana do jego złożenia (tj., w zależności od sytuacji: pełnomocnictwo, informację odpowiadającą odpisowi pełnemu z Krajowego Rejestru Sądowego lub wyciąg z Centralnej Ewidencji i Informacji o Działalności Gospodarczej).</w:t>
      </w:r>
    </w:p>
    <w:p w14:paraId="67766BF7" w14:textId="53009B52" w:rsidR="004D3520" w:rsidRPr="000B7B5C" w:rsidRDefault="004D3520" w:rsidP="000B7B5C">
      <w:pPr>
        <w:pStyle w:val="Default"/>
        <w:numPr>
          <w:ilvl w:val="0"/>
          <w:numId w:val="28"/>
        </w:numPr>
        <w:spacing w:before="100" w:beforeAutospacing="1" w:after="120"/>
        <w:jc w:val="both"/>
        <w:rPr>
          <w:rFonts w:asciiTheme="minorHAnsi" w:hAnsiTheme="minorHAnsi" w:cstheme="minorBidi"/>
          <w:b/>
          <w:bCs/>
          <w:sz w:val="22"/>
          <w:szCs w:val="22"/>
        </w:rPr>
      </w:pPr>
      <w:r w:rsidRPr="000B7B5C">
        <w:rPr>
          <w:rFonts w:asciiTheme="minorHAnsi" w:hAnsiTheme="minorHAnsi" w:cstheme="minorBidi"/>
          <w:b/>
          <w:bCs/>
          <w:sz w:val="22"/>
          <w:szCs w:val="22"/>
        </w:rPr>
        <w:t xml:space="preserve">Czy przedsiębiorca składający wniosek o subwencję powinien zadbać o wskazanie w nim prawidłowych informacji? </w:t>
      </w:r>
    </w:p>
    <w:p w14:paraId="6442D977" w14:textId="18207B8D" w:rsidR="004D3520" w:rsidRPr="000B7B5C" w:rsidRDefault="004D3520" w:rsidP="000B7B5C">
      <w:pPr>
        <w:pStyle w:val="Default"/>
        <w:spacing w:before="100" w:beforeAutospacing="1" w:after="120"/>
        <w:jc w:val="both"/>
        <w:rPr>
          <w:rFonts w:asciiTheme="minorHAnsi" w:hAnsiTheme="minorHAnsi" w:cstheme="minorHAnsi"/>
          <w:sz w:val="22"/>
          <w:szCs w:val="22"/>
        </w:rPr>
      </w:pPr>
      <w:r w:rsidRPr="000B7B5C">
        <w:rPr>
          <w:rFonts w:asciiTheme="minorHAnsi" w:hAnsiTheme="minorHAnsi" w:cstheme="minorHAnsi"/>
          <w:sz w:val="22"/>
          <w:szCs w:val="22"/>
        </w:rPr>
        <w:t xml:space="preserve">Tak, przedsiębiorca musi zadbać o to, aby wszystkie dane i oświadczenia wskazane we wniosku  o subwencję były zgodne z prawdą. Osoba składająca wniosek oświadcza w nim również, że jest świadoma odpowiedzialności karnej za przedstawienie fałszywych informacji oraz złożenie fałszywych oświadczeń w związku z procesem ubiegania się o subwencję. Prawidłowość informacji wskazanych we wniosku ma wpływ na czas realizacji wniosku. </w:t>
      </w:r>
    </w:p>
    <w:p w14:paraId="739D8604" w14:textId="77777777" w:rsidR="004D3520" w:rsidRPr="000B7B5C" w:rsidRDefault="004D3520" w:rsidP="000B7B5C">
      <w:pPr>
        <w:pStyle w:val="Akapitzlist"/>
        <w:spacing w:before="100" w:beforeAutospacing="1" w:after="120"/>
        <w:jc w:val="both"/>
        <w:rPr>
          <w:rFonts w:eastAsia="Times New Roman" w:cstheme="minorHAnsi"/>
          <w:lang w:eastAsia="pl-PL"/>
        </w:rPr>
      </w:pPr>
    </w:p>
    <w:p w14:paraId="6F361C76" w14:textId="15D80A0A" w:rsidR="000B7B5C" w:rsidRPr="000B7B5C" w:rsidRDefault="004D3520" w:rsidP="000B7B5C">
      <w:pPr>
        <w:pStyle w:val="Akapitzlist"/>
        <w:widowControl w:val="0"/>
        <w:numPr>
          <w:ilvl w:val="0"/>
          <w:numId w:val="28"/>
        </w:numPr>
        <w:autoSpaceDE w:val="0"/>
        <w:autoSpaceDN w:val="0"/>
        <w:spacing w:before="100" w:beforeAutospacing="1" w:after="120" w:line="240" w:lineRule="auto"/>
        <w:jc w:val="both"/>
        <w:rPr>
          <w:rFonts w:eastAsia="Times New Roman"/>
          <w:b/>
          <w:bCs/>
          <w:lang w:eastAsia="pl-PL"/>
        </w:rPr>
      </w:pPr>
      <w:r w:rsidRPr="000B7B5C">
        <w:rPr>
          <w:rFonts w:eastAsia="Times New Roman"/>
          <w:b/>
          <w:bCs/>
          <w:lang w:eastAsia="pl-PL"/>
        </w:rPr>
        <w:t>Czy subwencja udzielana w ramach Tarczy Finansowej może być kumulowana z inną pomocą publiczną?</w:t>
      </w:r>
    </w:p>
    <w:p w14:paraId="4BA91EEF" w14:textId="1C05D782" w:rsidR="004D3520" w:rsidRPr="000B7B5C" w:rsidRDefault="004D3520" w:rsidP="000B7B5C">
      <w:pPr>
        <w:spacing w:before="100" w:beforeAutospacing="1" w:after="120" w:line="240" w:lineRule="auto"/>
        <w:jc w:val="both"/>
        <w:rPr>
          <w:rFonts w:eastAsia="Times New Roman" w:cstheme="minorHAnsi"/>
          <w:lang w:eastAsia="pl-PL"/>
        </w:rPr>
      </w:pPr>
      <w:r w:rsidRPr="000B7B5C">
        <w:rPr>
          <w:rFonts w:eastAsia="Times New Roman" w:cstheme="minorHAnsi"/>
          <w:lang w:eastAsia="pl-PL"/>
        </w:rPr>
        <w:t xml:space="preserve">Pomoc publiczna udzielana w ramach Tarczy Finansowej może być kumulowana z pomocą publiczną z sekcji 3.1 Komunikatu Komisji Europejskiej do łącznego limitu nieprzekraczającego 800 tys. EUR. Zasady kumulacji z innymi rodzajami pomocy opisane są na stronie UOKIK. </w:t>
      </w:r>
    </w:p>
    <w:p w14:paraId="588BCC1D" w14:textId="0FAF9D13"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b/>
          <w:bCs/>
        </w:rPr>
        <w:t xml:space="preserve">Czy na potrzeby weryfikacji statusu </w:t>
      </w:r>
      <w:proofErr w:type="spellStart"/>
      <w:r w:rsidRPr="000B7B5C">
        <w:rPr>
          <w:b/>
          <w:bCs/>
        </w:rPr>
        <w:t>mikrofirmy</w:t>
      </w:r>
      <w:proofErr w:type="spellEnd"/>
      <w:r w:rsidRPr="000B7B5C">
        <w:rPr>
          <w:b/>
          <w:bCs/>
        </w:rPr>
        <w:t xml:space="preserve"> oraz małej i średniej firmy należy uwzględnić wartość zatrudnienia, przychodów i sumy bilansowej właściciela i spółek zależnych wnioskodawcy?</w:t>
      </w:r>
    </w:p>
    <w:p w14:paraId="06224875" w14:textId="77777777" w:rsidR="004D3520" w:rsidRPr="000B7B5C" w:rsidRDefault="004D3520" w:rsidP="000B7B5C">
      <w:pPr>
        <w:spacing w:before="100" w:beforeAutospacing="1" w:after="120" w:line="288" w:lineRule="auto"/>
        <w:contextualSpacing/>
        <w:jc w:val="both"/>
        <w:rPr>
          <w:rFonts w:cstheme="minorHAnsi"/>
        </w:rPr>
      </w:pPr>
      <w:r w:rsidRPr="000B7B5C">
        <w:rPr>
          <w:rFonts w:cstheme="minorHAnsi"/>
        </w:rPr>
        <w:t xml:space="preserve">Kryterium skali zatrudnienia oraz skali finansowej odnosi się do przedsiębiorcy, z uwzględnieniem jego właściciela i spółek zależnych. </w:t>
      </w:r>
      <w:r w:rsidRPr="000B7B5C">
        <w:rPr>
          <w:rFonts w:cstheme="minorHAnsi"/>
          <w:color w:val="000000"/>
        </w:rPr>
        <w:t xml:space="preserve">Określając status </w:t>
      </w:r>
      <w:proofErr w:type="spellStart"/>
      <w:r w:rsidRPr="000B7B5C">
        <w:rPr>
          <w:rFonts w:cstheme="minorHAnsi"/>
          <w:color w:val="000000"/>
        </w:rPr>
        <w:t>mikrofirmy</w:t>
      </w:r>
      <w:proofErr w:type="spellEnd"/>
      <w:r w:rsidRPr="000B7B5C">
        <w:rPr>
          <w:rFonts w:cstheme="minorHAnsi"/>
          <w:color w:val="000000"/>
        </w:rPr>
        <w:t xml:space="preserve"> lub małej lub średniej firmy należy zweryfikować, czy zachodzą po jego stronie powiązania w ramach relacji łączących go z innymi przedsiębiorstwami (m.in. w ramach grup kapitałowych) i w razie konieczności sumować dane dotyczące przedsiębiorstw z nim powiązanych w następujący sposób: </w:t>
      </w:r>
    </w:p>
    <w:p w14:paraId="6C4274C3" w14:textId="77777777" w:rsidR="004D3520" w:rsidRPr="000B7B5C" w:rsidRDefault="004D3520" w:rsidP="000B7B5C">
      <w:pPr>
        <w:pStyle w:val="Akapitzlist"/>
        <w:numPr>
          <w:ilvl w:val="0"/>
          <w:numId w:val="27"/>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przypadku gdy dane przedsiębiorstwo posiada przedsiębiorstwa powiązane – do jego danych w zakresie liczby pracowników oraz rocznego obrotu i sumy bilansowej dolicza się w całości dane przedsiębiorstw powiązanych, </w:t>
      </w:r>
    </w:p>
    <w:p w14:paraId="4C8648E3" w14:textId="77777777" w:rsidR="004D3520" w:rsidRPr="000B7B5C" w:rsidRDefault="004D3520" w:rsidP="000B7B5C">
      <w:pPr>
        <w:pStyle w:val="Akapitzlist"/>
        <w:numPr>
          <w:ilvl w:val="0"/>
          <w:numId w:val="27"/>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przypadku gdy dane przedsiębiorstwo posiada przedsiębiorstwa partnerskie – do jego danych w zakresie liczby pracowników oraz rocznego obrotu i sumy bilansowej dolicza się dane przedsiębiorstw partnerskich proporcjonalnie do procentowego udziału w kapitale lub prawach głosu (z tym że należy wziąć pod uwagę wyższy udział) - nie dotyczy to publicznych korporacji inwestycyjnych, spółek venture </w:t>
      </w:r>
      <w:proofErr w:type="spellStart"/>
      <w:r w:rsidRPr="000B7B5C">
        <w:rPr>
          <w:rFonts w:cstheme="minorHAnsi"/>
          <w:color w:val="000000"/>
        </w:rPr>
        <w:t>capital</w:t>
      </w:r>
      <w:proofErr w:type="spellEnd"/>
      <w:r w:rsidRPr="000B7B5C">
        <w:rPr>
          <w:rFonts w:cstheme="minorHAnsi"/>
          <w:color w:val="000000"/>
        </w:rPr>
        <w:t xml:space="preserve">, osób fizycznych lub grupy osób fizycznych prowadzących regularną działalność inwestycyjną jako tzw. „anioły biznesu”, o ile całkowita kwota inwestycji tych inwestorów w jedno przedsiębiorstwo nie przekroczy 1 250 000 EUR; inwestorzy instytucjonalni, w tym fundusze rozwoju regionalnego. </w:t>
      </w:r>
    </w:p>
    <w:p w14:paraId="604234A9" w14:textId="5F29A9FB"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Dane przedsiębiorstw, które podlegają sumowaniu należy ustalać na podstawie ksiąg rachunkowych lub danych pochodzących ze skonsolidowanego sprawozdania finansowego. Szczegółowe informacje </w:t>
      </w:r>
      <w:r w:rsidRPr="000B7B5C">
        <w:rPr>
          <w:rFonts w:cstheme="minorHAnsi"/>
          <w:color w:val="000000"/>
        </w:rPr>
        <w:lastRenderedPageBreak/>
        <w:t xml:space="preserve">dotyczące ustalenia statusu przedsiębiorstwa znajdują się w Załączniku I Rozporządzenia Pomocowego. </w:t>
      </w:r>
    </w:p>
    <w:p w14:paraId="67EC03D2" w14:textId="5EF0D931"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b/>
          <w:bCs/>
        </w:rPr>
        <w:t>Jaki jest cel wskazywania we wniosku o subwencję zakładanej części pokrycia strat w perspektywie 12 miesięcy?</w:t>
      </w:r>
      <w:r w:rsidRPr="000B7B5C">
        <w:rPr>
          <w:rFonts w:eastAsia="Times New Roman"/>
          <w:lang w:eastAsia="pl-PL"/>
        </w:rPr>
        <w:t xml:space="preserve"> </w:t>
      </w:r>
    </w:p>
    <w:p w14:paraId="2740AA96" w14:textId="58C91F37" w:rsidR="004D3520" w:rsidRPr="000B7B5C" w:rsidRDefault="004D3520" w:rsidP="000B7B5C">
      <w:pPr>
        <w:spacing w:before="100" w:beforeAutospacing="1" w:after="120"/>
        <w:jc w:val="both"/>
        <w:rPr>
          <w:rFonts w:cstheme="minorHAnsi"/>
          <w:color w:val="000000"/>
        </w:rPr>
      </w:pPr>
      <w:r w:rsidRPr="000B7B5C">
        <w:rPr>
          <w:rFonts w:cstheme="minorHAnsi"/>
          <w:color w:val="000000"/>
        </w:rPr>
        <w:t>Wymagana w formularzu wniosku informacja dotycząca wskazania przez wnioskodawcę zakładanego procentowego pokrycia strat finansowych w perspektywie 12 miesięcy jest jedynie informacją statystyczną i nie wpływa na warunki udzielenia subwencji.</w:t>
      </w:r>
    </w:p>
    <w:p w14:paraId="17617293" w14:textId="3B1EDB07"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b/>
          <w:bCs/>
          <w:lang w:eastAsia="pl-PL"/>
        </w:rPr>
      </w:pPr>
      <w:r w:rsidRPr="000B7B5C">
        <w:rPr>
          <w:rFonts w:eastAsia="Times New Roman"/>
          <w:b/>
          <w:bCs/>
          <w:lang w:eastAsia="pl-PL"/>
        </w:rPr>
        <w:t>Czy można wskazać do przekazania subwencji rachunek bieżący z udostępnionym kredytem lub linią kredytową?</w:t>
      </w:r>
    </w:p>
    <w:p w14:paraId="7C5BF7A5" w14:textId="29C56F3D" w:rsidR="004D3520" w:rsidRPr="000B7B5C" w:rsidRDefault="004D3520" w:rsidP="000B7B5C">
      <w:pPr>
        <w:spacing w:before="100" w:beforeAutospacing="1" w:after="120" w:line="240" w:lineRule="auto"/>
        <w:jc w:val="both"/>
        <w:rPr>
          <w:rFonts w:eastAsia="Times New Roman" w:cstheme="minorHAnsi"/>
          <w:lang w:eastAsia="pl-PL"/>
        </w:rPr>
      </w:pPr>
      <w:r w:rsidRPr="000B7B5C">
        <w:rPr>
          <w:rFonts w:eastAsia="Times New Roman" w:cstheme="minorHAnsi"/>
          <w:lang w:eastAsia="pl-PL"/>
        </w:rPr>
        <w:t>Środki z subwencji finansowej mogą zostać przekazane na rachunek bieżący, w którym udostępniony jest kredyt lub linia kredytowa, pod warunkiem, że klient na nowo wykorzysta środki ze spłaconego limitu kredytowego do pokrycia kosztów bieżącej działalności gospodarczej.</w:t>
      </w:r>
    </w:p>
    <w:p w14:paraId="6F38669B" w14:textId="77777777"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rFonts w:eastAsia="Times New Roman"/>
          <w:b/>
          <w:bCs/>
          <w:lang w:eastAsia="pl-PL"/>
        </w:rPr>
        <w:t>Czy warunkiem wnioskowania o subwencję jest brak zaległości w podatkach i składkach na ubezpieczenia społeczne ?</w:t>
      </w:r>
    </w:p>
    <w:p w14:paraId="61C53747"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eastAsia="Times New Roman" w:cstheme="minorHAnsi"/>
          <w:lang w:eastAsia="pl-PL"/>
        </w:rPr>
        <w:t>Tak, to jeden z warunków ubiegania się o subwencję.</w:t>
      </w:r>
      <w:r w:rsidRPr="000B7B5C">
        <w:rPr>
          <w:rFonts w:cstheme="minorHAnsi"/>
          <w:color w:val="000000"/>
        </w:rPr>
        <w:t xml:space="preserve"> Może się o nią ubiegać przedsiębiorca, który:</w:t>
      </w:r>
    </w:p>
    <w:p w14:paraId="65E67914"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nie zalegał z płatnościami podatków i składek na ubezpieczenia społeczne na dzień 31 grudnia 2019 r. oraz na dzień składania wniosku, </w:t>
      </w:r>
    </w:p>
    <w:p w14:paraId="55BFEFBF"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nie zalega z płatnościami podatków i składek na ubezpieczenia społeczne na dzień składania wniosku, ale zalegał na dzień 31 grudnia 2019 r. albo </w:t>
      </w:r>
    </w:p>
    <w:p w14:paraId="3F5D596A"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nie zalegał z płatnościami podatków i składek na ubezpieczenia społeczne na dzień 31 grudnia 2019 r., ale zalega na dzień składania wniosku.</w:t>
      </w:r>
    </w:p>
    <w:p w14:paraId="7B3C07FA" w14:textId="77777777" w:rsidR="004D3520" w:rsidRPr="000B7B5C" w:rsidRDefault="004D3520" w:rsidP="000B7B5C">
      <w:pPr>
        <w:adjustRightInd w:val="0"/>
        <w:spacing w:before="100" w:beforeAutospacing="1" w:after="120"/>
        <w:jc w:val="both"/>
        <w:rPr>
          <w:rFonts w:cstheme="minorHAnsi"/>
          <w:color w:val="000000"/>
        </w:rPr>
      </w:pPr>
      <w:r w:rsidRPr="000B7B5C">
        <w:rPr>
          <w:rFonts w:cstheme="minorHAnsi"/>
          <w:color w:val="000000"/>
        </w:rPr>
        <w:t>Przy czym rozłożenie płatności na raty lub jej odroczenie, lub zaleganie z płatnościami podatków i składek na ubezpieczenia społeczne nieprzekraczające trzykrotności wartości opłaty pobieranej przez operatora wyznaczonego w rozumieniu ustawy prawo pocztowe za traktowanie przesyłki listowej jako przesyłki poleconej, nie jest uznawane za zaległość.</w:t>
      </w:r>
    </w:p>
    <w:p w14:paraId="46D22C7F" w14:textId="56BF9226"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Czy z subwencji finansowej mogą skorzystać podmioty sektora rolnego lub rybołówstwa i akwakultury?</w:t>
      </w:r>
    </w:p>
    <w:p w14:paraId="48B68820" w14:textId="0E56A8C1" w:rsidR="004D3520" w:rsidRPr="000B7B5C" w:rsidRDefault="004D3520" w:rsidP="000B7B5C">
      <w:pPr>
        <w:autoSpaceDE w:val="0"/>
        <w:autoSpaceDN w:val="0"/>
        <w:adjustRightInd w:val="0"/>
        <w:spacing w:before="100" w:beforeAutospacing="1" w:after="120" w:line="240" w:lineRule="auto"/>
        <w:jc w:val="both"/>
        <w:rPr>
          <w:rFonts w:cstheme="minorHAnsi"/>
        </w:rPr>
      </w:pPr>
      <w:r w:rsidRPr="000B7B5C">
        <w:rPr>
          <w:rFonts w:eastAsia="Times New Roman" w:cstheme="minorHAnsi"/>
          <w:lang w:eastAsia="pl-PL"/>
        </w:rPr>
        <w:t>Tak, z pomocy mogą skorzystać</w:t>
      </w:r>
      <w:r w:rsidRPr="000B7B5C">
        <w:rPr>
          <w:rFonts w:cstheme="minorHAnsi"/>
        </w:rPr>
        <w:t xml:space="preserve"> przedsiębiorcy:</w:t>
      </w:r>
    </w:p>
    <w:p w14:paraId="1D91054D" w14:textId="77777777" w:rsidR="004D3520" w:rsidRPr="000B7B5C" w:rsidRDefault="004D3520" w:rsidP="000B7B5C">
      <w:pPr>
        <w:pStyle w:val="Akapitzlist"/>
        <w:widowControl w:val="0"/>
        <w:numPr>
          <w:ilvl w:val="1"/>
          <w:numId w:val="28"/>
        </w:numPr>
        <w:autoSpaceDE w:val="0"/>
        <w:autoSpaceDN w:val="0"/>
        <w:adjustRightInd w:val="0"/>
        <w:spacing w:before="100" w:beforeAutospacing="1" w:after="120" w:line="240" w:lineRule="auto"/>
        <w:ind w:left="709" w:hanging="283"/>
        <w:contextualSpacing w:val="0"/>
        <w:jc w:val="both"/>
        <w:rPr>
          <w:rFonts w:eastAsia="Times New Roman" w:cstheme="minorHAnsi"/>
          <w:lang w:eastAsia="pl-PL"/>
        </w:rPr>
      </w:pPr>
      <w:r w:rsidRPr="000B7B5C">
        <w:rPr>
          <w:rFonts w:eastAsia="Times New Roman" w:cstheme="minorHAnsi"/>
          <w:lang w:eastAsia="pl-PL"/>
        </w:rPr>
        <w:t>prowadzący działalność w sektorze produkcji podstawowej produktów rolnych, tj. zajmujący się wytwarzaniem płodów ziemi i produktów pochodzących z chowu zwierząt, wymienionych w załączniku I do TFUE (z wyjątkiem produktów sektora rybołówstwa i akwakultury), bez poddawania ich jakiemukolwiek dalszemu przetwarzaniu zmieniającemu właściwości tych produktów. Ponadto, do produkcji podstawowej produktów rolnych zalicza się wykonywane w gospodarstwach czynności niezbędne do przygotowania produktów zwierzęcych lub roślinnych do pierwszej sprzedaży („Rolnik”); oraz</w:t>
      </w:r>
    </w:p>
    <w:p w14:paraId="0E76E43A" w14:textId="40421CBF" w:rsidR="004D3520" w:rsidRPr="000B7B5C" w:rsidRDefault="004D3520" w:rsidP="000B7B5C">
      <w:pPr>
        <w:pStyle w:val="Akapitzlist"/>
        <w:widowControl w:val="0"/>
        <w:numPr>
          <w:ilvl w:val="1"/>
          <w:numId w:val="28"/>
        </w:numPr>
        <w:autoSpaceDE w:val="0"/>
        <w:autoSpaceDN w:val="0"/>
        <w:adjustRightInd w:val="0"/>
        <w:spacing w:before="100" w:beforeAutospacing="1" w:after="120" w:line="240" w:lineRule="auto"/>
        <w:ind w:left="709" w:hanging="283"/>
        <w:contextualSpacing w:val="0"/>
        <w:jc w:val="both"/>
        <w:rPr>
          <w:rFonts w:eastAsia="Times New Roman" w:cstheme="minorHAnsi"/>
          <w:lang w:eastAsia="pl-PL"/>
        </w:rPr>
      </w:pPr>
      <w:r w:rsidRPr="000B7B5C">
        <w:rPr>
          <w:rFonts w:eastAsia="Times New Roman" w:cstheme="minorHAnsi"/>
          <w:lang w:eastAsia="pl-PL"/>
        </w:rPr>
        <w:t xml:space="preserve">prowadzący działalność w sektorze rybołówstwa i akwakultury, tj. produkujący, przetwarzający lub wprowadzający do obrotu produkty wymienione w załączniku I do rozporządzenia Parlamentu Europejskiego i Rady (UE) nr 1379/2013 z dnia 11 grudnia 2013 r. </w:t>
      </w:r>
      <w:r w:rsidRPr="000B7B5C">
        <w:rPr>
          <w:rFonts w:eastAsia="Times New Roman" w:cstheme="minorHAnsi"/>
          <w:lang w:eastAsia="pl-PL"/>
        </w:rPr>
        <w:lastRenderedPageBreak/>
        <w:t>w sprawie wspólnej organizacji rynków produktów rybołówstwa i akwakultury, zmieniającego rozporządzenia Rady (WE) nr 1184/2006 i (WE) nr 1224/2009 oraz uchylającego rozporządzenie Rady (WE) nr 104/2000 (Dz.U. L 354 z 28.12.2013, s. 1) („Rybak”);</w:t>
      </w:r>
    </w:p>
    <w:p w14:paraId="600F7AA1" w14:textId="43559E55" w:rsidR="004D3520" w:rsidRPr="000B7B5C" w:rsidRDefault="004D3520" w:rsidP="000B7B5C">
      <w:pPr>
        <w:autoSpaceDE w:val="0"/>
        <w:autoSpaceDN w:val="0"/>
        <w:adjustRightInd w:val="0"/>
        <w:spacing w:before="100" w:beforeAutospacing="1" w:after="120" w:line="240" w:lineRule="auto"/>
        <w:jc w:val="both"/>
        <w:rPr>
          <w:rFonts w:eastAsia="Times New Roman" w:cstheme="minorHAnsi"/>
          <w:lang w:eastAsia="pl-PL"/>
        </w:rPr>
      </w:pPr>
      <w:r w:rsidRPr="000B7B5C">
        <w:rPr>
          <w:rFonts w:eastAsia="Times New Roman" w:cstheme="minorHAnsi"/>
          <w:lang w:eastAsia="pl-PL"/>
        </w:rPr>
        <w:t>pod warunkiem, że spełniają jednocześnie pozostałe kryteria, których spełnienie jest niezbędne do uzyskania subwencji finansowej.</w:t>
      </w:r>
    </w:p>
    <w:p w14:paraId="54EB4F08" w14:textId="46A7FFA4" w:rsidR="004D3520" w:rsidRPr="000B7B5C" w:rsidRDefault="004D3520" w:rsidP="000B7B5C">
      <w:pPr>
        <w:autoSpaceDE w:val="0"/>
        <w:autoSpaceDN w:val="0"/>
        <w:adjustRightInd w:val="0"/>
        <w:spacing w:before="100" w:beforeAutospacing="1" w:after="120" w:line="240" w:lineRule="auto"/>
        <w:jc w:val="both"/>
        <w:rPr>
          <w:rFonts w:eastAsia="Times New Roman" w:cstheme="minorHAnsi"/>
          <w:lang w:eastAsia="pl-PL"/>
        </w:rPr>
      </w:pPr>
      <w:r w:rsidRPr="000B7B5C">
        <w:rPr>
          <w:rFonts w:eastAsia="Times New Roman" w:cstheme="minorHAnsi"/>
          <w:lang w:eastAsia="pl-PL"/>
        </w:rPr>
        <w:t>Do podmiotów prowadzących działalność w sektorze produkcji podstawowej produktów rolnych stosuje się limit łącznej pomocy publicznej, którą podmioty te mogą otrzymać w ramach sekcji 3.1. Tymczasowych Ram Pomocy w wysokości równowartości w złotych 100 000 euro.</w:t>
      </w:r>
    </w:p>
    <w:p w14:paraId="5FE2C8BC" w14:textId="36070B79"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eastAsia="Times New Roman" w:cstheme="minorHAnsi"/>
          <w:lang w:eastAsia="pl-PL"/>
        </w:rPr>
        <w:t>Do podmiotów prowadzących działalność w sektorze rybołówstwa i akwakultury stosuje się limit łącznej pomocy publicznej, którą podmioty te mogą otrzymać w ramach sekcji 3.1. Tymczasowych Ram Pomocy w wysokości równowartości w złotych 120 000 euro.</w:t>
      </w:r>
    </w:p>
    <w:p w14:paraId="7E972641" w14:textId="40180880"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Jako Rolnik/Rybak nie wiem czy mam nr REGON. Gdzie mogę to sprawdzić?</w:t>
      </w:r>
    </w:p>
    <w:p w14:paraId="27884AA3" w14:textId="750AF641"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W przypadku gdy Rolnik lub Rybak nie posiada wiedzy o swoim numerze REGON, może:</w:t>
      </w:r>
    </w:p>
    <w:p w14:paraId="5E3AF618" w14:textId="30665477" w:rsidR="004D3520" w:rsidRPr="000B7B5C" w:rsidRDefault="004D3520" w:rsidP="000B7B5C">
      <w:pPr>
        <w:pStyle w:val="Akapitzlist"/>
        <w:widowControl w:val="0"/>
        <w:numPr>
          <w:ilvl w:val="0"/>
          <w:numId w:val="30"/>
        </w:numPr>
        <w:autoSpaceDE w:val="0"/>
        <w:autoSpaceDN w:val="0"/>
        <w:adjustRightInd w:val="0"/>
        <w:spacing w:before="100" w:beforeAutospacing="1" w:after="120" w:line="240" w:lineRule="auto"/>
        <w:contextualSpacing w:val="0"/>
        <w:jc w:val="both"/>
        <w:rPr>
          <w:rFonts w:eastAsia="Novel Pro" w:cstheme="minorHAnsi"/>
          <w:color w:val="000000"/>
        </w:rPr>
      </w:pPr>
      <w:r w:rsidRPr="000B7B5C">
        <w:rPr>
          <w:rFonts w:eastAsia="Novel Pro" w:cstheme="minorHAnsi"/>
          <w:color w:val="000000"/>
        </w:rPr>
        <w:t>sprawdzić swój status za pomocą bazy internetowej REGON pod linkiem https://wyszukiwarkaregon.stat.gov.pl/appBIR/index.aspx;</w:t>
      </w:r>
    </w:p>
    <w:p w14:paraId="16FFDA3A" w14:textId="77777777" w:rsidR="004D3520" w:rsidRPr="000B7B5C" w:rsidRDefault="004D3520" w:rsidP="000B7B5C">
      <w:pPr>
        <w:pStyle w:val="Akapitzlist"/>
        <w:widowControl w:val="0"/>
        <w:numPr>
          <w:ilvl w:val="0"/>
          <w:numId w:val="30"/>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zgłosić chęć nadania numeru REGON do Głównego Urzędu Statystycznego na formularzu RG-OF. W związku z sytuacją związaną z wystąpieniem COVID-19, Główny Urząd Statystyczny rekomenduje się składanie wniosku o nadanie REGON droga zdalną – szczegóły w poniższym linku: </w:t>
      </w:r>
      <w:hyperlink r:id="rId10" w:history="1">
        <w:r w:rsidRPr="000B7B5C">
          <w:rPr>
            <w:rStyle w:val="Hipercze"/>
            <w:rFonts w:cstheme="minorHAnsi"/>
          </w:rPr>
          <w:t>https://bip.stat.gov.pl/dzialalnosc-statystyki-publicznej/rejestr-regon/</w:t>
        </w:r>
      </w:hyperlink>
      <w:r w:rsidRPr="000B7B5C">
        <w:rPr>
          <w:rFonts w:cstheme="minorHAnsi"/>
          <w:color w:val="000000"/>
        </w:rPr>
        <w:t>.</w:t>
      </w:r>
    </w:p>
    <w:p w14:paraId="70639EEF" w14:textId="77777777" w:rsidR="004D3520" w:rsidRPr="000B7B5C" w:rsidRDefault="004D3520" w:rsidP="000B7B5C">
      <w:pPr>
        <w:pStyle w:val="Akapitzlist"/>
        <w:spacing w:before="100" w:beforeAutospacing="1" w:after="120"/>
        <w:ind w:left="0"/>
        <w:jc w:val="both"/>
        <w:rPr>
          <w:rFonts w:cstheme="minorHAnsi"/>
          <w:color w:val="000000"/>
        </w:rPr>
      </w:pPr>
    </w:p>
    <w:p w14:paraId="676D70B3" w14:textId="36C4E115"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Czy jako Rolnik/Rybak muszę być zarejestrowany w CEIDG lub KRS, aby móc ubiegać się o subwencję finansową?</w:t>
      </w:r>
    </w:p>
    <w:p w14:paraId="6C8962C9"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Tak, założenia programowe przewidują, że podmiot, który chce skorzystać z pomocy, musi być zarejestrowany w Krajowym Rejestrze Sądowym albo Centralnej Ewidencji i Informacji o Działalności Gospodarczej. Dotyczy to wszystkich przedsiębiorców, którzy chcą skorzystać z pomocy, w tym Rolników i Rybaków.</w:t>
      </w:r>
    </w:p>
    <w:p w14:paraId="6D9F981A" w14:textId="77777777" w:rsidR="004D3520" w:rsidRPr="000B7B5C" w:rsidRDefault="004D3520" w:rsidP="004D3520">
      <w:pPr>
        <w:adjustRightInd w:val="0"/>
        <w:jc w:val="both"/>
        <w:rPr>
          <w:rFonts w:cstheme="minorHAnsi"/>
          <w:color w:val="000000"/>
        </w:rPr>
      </w:pPr>
    </w:p>
    <w:p w14:paraId="0F38FE96" w14:textId="77777777" w:rsidR="00802DB1" w:rsidRPr="004D3520" w:rsidRDefault="00802DB1" w:rsidP="004D3520"/>
    <w:sectPr w:rsidR="00802DB1" w:rsidRPr="004D352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68EA" w14:textId="77777777" w:rsidR="00A82745" w:rsidRDefault="00A82745" w:rsidP="005E2460">
      <w:pPr>
        <w:spacing w:after="0" w:line="240" w:lineRule="auto"/>
      </w:pPr>
      <w:r>
        <w:separator/>
      </w:r>
    </w:p>
  </w:endnote>
  <w:endnote w:type="continuationSeparator" w:id="0">
    <w:p w14:paraId="1D139397" w14:textId="77777777" w:rsidR="00A82745" w:rsidRDefault="00A82745"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vel Pro">
    <w:altName w:val="Cambria"/>
    <w:panose1 w:val="00000000000000000000"/>
    <w:charset w:val="00"/>
    <w:family w:val="modern"/>
    <w:notTrueType/>
    <w:pitch w:val="variable"/>
    <w:sig w:usb0="00000007" w:usb1="5000A47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0F3A" w14:textId="77777777" w:rsidR="00A82745" w:rsidRDefault="00A82745" w:rsidP="005E2460">
      <w:pPr>
        <w:spacing w:after="0" w:line="240" w:lineRule="auto"/>
      </w:pPr>
      <w:r>
        <w:separator/>
      </w:r>
    </w:p>
  </w:footnote>
  <w:footnote w:type="continuationSeparator" w:id="0">
    <w:p w14:paraId="1FDB99E2" w14:textId="77777777" w:rsidR="00A82745" w:rsidRDefault="00A82745" w:rsidP="005E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DC31" w14:textId="2EFB711E" w:rsidR="005E2460" w:rsidRDefault="005E2460">
    <w:pPr>
      <w:pStyle w:val="Nagwek"/>
    </w:pPr>
    <w:r>
      <w:rPr>
        <w:noProof/>
        <w:lang w:eastAsia="pl-PL"/>
      </w:rPr>
      <w:drawing>
        <wp:anchor distT="0" distB="0" distL="114300" distR="114300" simplePos="0" relativeHeight="251658240" behindDoc="0" locked="0" layoutInCell="1" allowOverlap="1" wp14:anchorId="7F2F48E3" wp14:editId="4B46DBE4">
          <wp:simplePos x="0" y="0"/>
          <wp:positionH relativeFrom="column">
            <wp:posOffset>5081113</wp:posOffset>
          </wp:positionH>
          <wp:positionV relativeFrom="paragraph">
            <wp:posOffset>-220979</wp:posOffset>
          </wp:positionV>
          <wp:extent cx="1075098" cy="434340"/>
          <wp:effectExtent l="0" t="0" r="0" b="3810"/>
          <wp:wrapNone/>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jpg"/>
                  <pic:cNvPicPr/>
                </pic:nvPicPr>
                <pic:blipFill>
                  <a:blip r:embed="rId1">
                    <a:extLst>
                      <a:ext uri="{28A0092B-C50C-407E-A947-70E740481C1C}">
                        <a14:useLocalDpi xmlns:a14="http://schemas.microsoft.com/office/drawing/2010/main" val="0"/>
                      </a:ext>
                    </a:extLst>
                  </a:blip>
                  <a:stretch>
                    <a:fillRect/>
                  </a:stretch>
                </pic:blipFill>
                <pic:spPr>
                  <a:xfrm>
                    <a:off x="0" y="0"/>
                    <a:ext cx="1082134" cy="437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D29"/>
    <w:multiLevelType w:val="hybridMultilevel"/>
    <w:tmpl w:val="894EE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05F22"/>
    <w:multiLevelType w:val="hybridMultilevel"/>
    <w:tmpl w:val="EEBAEE4A"/>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82512F1"/>
    <w:multiLevelType w:val="hybridMultilevel"/>
    <w:tmpl w:val="D8363F74"/>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 w15:restartNumberingAfterBreak="0">
    <w:nsid w:val="0B32394E"/>
    <w:multiLevelType w:val="hybridMultilevel"/>
    <w:tmpl w:val="29C24368"/>
    <w:lvl w:ilvl="0" w:tplc="1EE6D9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04E2E"/>
    <w:multiLevelType w:val="hybridMultilevel"/>
    <w:tmpl w:val="E9BEC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27800"/>
    <w:multiLevelType w:val="hybridMultilevel"/>
    <w:tmpl w:val="78085A52"/>
    <w:lvl w:ilvl="0" w:tplc="3BA8F3DA">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05CDF"/>
    <w:multiLevelType w:val="hybridMultilevel"/>
    <w:tmpl w:val="81FAD3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E55338"/>
    <w:multiLevelType w:val="hybridMultilevel"/>
    <w:tmpl w:val="4782D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705ED"/>
    <w:multiLevelType w:val="hybridMultilevel"/>
    <w:tmpl w:val="1CCE4F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121A01"/>
    <w:multiLevelType w:val="hybridMultilevel"/>
    <w:tmpl w:val="7D2C75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B7C278A"/>
    <w:multiLevelType w:val="hybridMultilevel"/>
    <w:tmpl w:val="18ACC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E5E5B"/>
    <w:multiLevelType w:val="hybridMultilevel"/>
    <w:tmpl w:val="CEBE055C"/>
    <w:lvl w:ilvl="0" w:tplc="A9AE0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561D35"/>
    <w:multiLevelType w:val="hybridMultilevel"/>
    <w:tmpl w:val="55A88A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897F58"/>
    <w:multiLevelType w:val="hybridMultilevel"/>
    <w:tmpl w:val="5CB4F72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E24EAC"/>
    <w:multiLevelType w:val="hybridMultilevel"/>
    <w:tmpl w:val="B2FAA5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CA001F"/>
    <w:multiLevelType w:val="hybridMultilevel"/>
    <w:tmpl w:val="0398344A"/>
    <w:lvl w:ilvl="0" w:tplc="04150001">
      <w:start w:val="1"/>
      <w:numFmt w:val="bullet"/>
      <w:lvlText w:val=""/>
      <w:lvlJc w:val="left"/>
      <w:pPr>
        <w:ind w:left="1480" w:hanging="360"/>
      </w:pPr>
      <w:rPr>
        <w:rFonts w:ascii="Symbol" w:hAnsi="Symbol" w:cs="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cs="Wingdings" w:hint="default"/>
      </w:rPr>
    </w:lvl>
    <w:lvl w:ilvl="3" w:tplc="04150001" w:tentative="1">
      <w:start w:val="1"/>
      <w:numFmt w:val="bullet"/>
      <w:lvlText w:val=""/>
      <w:lvlJc w:val="left"/>
      <w:pPr>
        <w:ind w:left="3640" w:hanging="360"/>
      </w:pPr>
      <w:rPr>
        <w:rFonts w:ascii="Symbol" w:hAnsi="Symbol" w:cs="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cs="Wingdings" w:hint="default"/>
      </w:rPr>
    </w:lvl>
    <w:lvl w:ilvl="6" w:tplc="04150001" w:tentative="1">
      <w:start w:val="1"/>
      <w:numFmt w:val="bullet"/>
      <w:lvlText w:val=""/>
      <w:lvlJc w:val="left"/>
      <w:pPr>
        <w:ind w:left="5800" w:hanging="360"/>
      </w:pPr>
      <w:rPr>
        <w:rFonts w:ascii="Symbol" w:hAnsi="Symbol" w:cs="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cs="Wingdings" w:hint="default"/>
      </w:rPr>
    </w:lvl>
  </w:abstractNum>
  <w:abstractNum w:abstractNumId="16" w15:restartNumberingAfterBreak="0">
    <w:nsid w:val="381113C0"/>
    <w:multiLevelType w:val="hybridMultilevel"/>
    <w:tmpl w:val="B41C3B3C"/>
    <w:lvl w:ilvl="0" w:tplc="FFD65E6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FC2DF5"/>
    <w:multiLevelType w:val="hybridMultilevel"/>
    <w:tmpl w:val="B1B60F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586F4B"/>
    <w:multiLevelType w:val="hybridMultilevel"/>
    <w:tmpl w:val="CECA9D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A67DB6"/>
    <w:multiLevelType w:val="hybridMultilevel"/>
    <w:tmpl w:val="EF30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E6189"/>
    <w:multiLevelType w:val="hybridMultilevel"/>
    <w:tmpl w:val="54743A24"/>
    <w:lvl w:ilvl="0" w:tplc="89DADE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ECB5507"/>
    <w:multiLevelType w:val="hybridMultilevel"/>
    <w:tmpl w:val="FE021A72"/>
    <w:lvl w:ilvl="0" w:tplc="CD70D15C">
      <w:start w:val="1"/>
      <w:numFmt w:val="low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F187613"/>
    <w:multiLevelType w:val="hybridMultilevel"/>
    <w:tmpl w:val="62B66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C7F94"/>
    <w:multiLevelType w:val="hybridMultilevel"/>
    <w:tmpl w:val="55A28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700141"/>
    <w:multiLevelType w:val="hybridMultilevel"/>
    <w:tmpl w:val="8D9C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0524B"/>
    <w:multiLevelType w:val="hybridMultilevel"/>
    <w:tmpl w:val="F0EAE74E"/>
    <w:lvl w:ilvl="0" w:tplc="9E0003C4">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53E84"/>
    <w:multiLevelType w:val="hybridMultilevel"/>
    <w:tmpl w:val="34F4F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6FDC2054"/>
    <w:multiLevelType w:val="hybridMultilevel"/>
    <w:tmpl w:val="D722E04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7B2008"/>
    <w:multiLevelType w:val="hybridMultilevel"/>
    <w:tmpl w:val="3140CB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9C36B5"/>
    <w:multiLevelType w:val="hybridMultilevel"/>
    <w:tmpl w:val="03682618"/>
    <w:lvl w:ilvl="0" w:tplc="0DAE07B0">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num w:numId="1">
    <w:abstractNumId w:val="25"/>
  </w:num>
  <w:num w:numId="2">
    <w:abstractNumId w:val="11"/>
  </w:num>
  <w:num w:numId="3">
    <w:abstractNumId w:val="13"/>
  </w:num>
  <w:num w:numId="4">
    <w:abstractNumId w:val="18"/>
  </w:num>
  <w:num w:numId="5">
    <w:abstractNumId w:val="17"/>
  </w:num>
  <w:num w:numId="6">
    <w:abstractNumId w:val="14"/>
  </w:num>
  <w:num w:numId="7">
    <w:abstractNumId w:val="29"/>
  </w:num>
  <w:num w:numId="8">
    <w:abstractNumId w:val="6"/>
  </w:num>
  <w:num w:numId="9">
    <w:abstractNumId w:val="28"/>
  </w:num>
  <w:num w:numId="10">
    <w:abstractNumId w:val="12"/>
  </w:num>
  <w:num w:numId="11">
    <w:abstractNumId w:val="9"/>
  </w:num>
  <w:num w:numId="12">
    <w:abstractNumId w:val="26"/>
  </w:num>
  <w:num w:numId="13">
    <w:abstractNumId w:val="10"/>
  </w:num>
  <w:num w:numId="14">
    <w:abstractNumId w:val="20"/>
  </w:num>
  <w:num w:numId="15">
    <w:abstractNumId w:val="8"/>
  </w:num>
  <w:num w:numId="16">
    <w:abstractNumId w:val="7"/>
  </w:num>
  <w:num w:numId="17">
    <w:abstractNumId w:val="19"/>
  </w:num>
  <w:num w:numId="18">
    <w:abstractNumId w:val="24"/>
  </w:num>
  <w:num w:numId="19">
    <w:abstractNumId w:val="0"/>
  </w:num>
  <w:num w:numId="20">
    <w:abstractNumId w:val="3"/>
  </w:num>
  <w:num w:numId="21">
    <w:abstractNumId w:val="1"/>
  </w:num>
  <w:num w:numId="22">
    <w:abstractNumId w:val="27"/>
  </w:num>
  <w:num w:numId="23">
    <w:abstractNumId w:val="2"/>
  </w:num>
  <w:num w:numId="24">
    <w:abstractNumId w:val="15"/>
  </w:num>
  <w:num w:numId="25">
    <w:abstractNumId w:val="21"/>
  </w:num>
  <w:num w:numId="26">
    <w:abstractNumId w:val="4"/>
  </w:num>
  <w:num w:numId="27">
    <w:abstractNumId w:val="16"/>
  </w:num>
  <w:num w:numId="28">
    <w:abstractNumId w:val="5"/>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E"/>
    <w:rsid w:val="000107EA"/>
    <w:rsid w:val="00055128"/>
    <w:rsid w:val="000552C9"/>
    <w:rsid w:val="00055B91"/>
    <w:rsid w:val="000B7B5C"/>
    <w:rsid w:val="000E3FC6"/>
    <w:rsid w:val="001223D7"/>
    <w:rsid w:val="00125DC4"/>
    <w:rsid w:val="00152972"/>
    <w:rsid w:val="00207CC8"/>
    <w:rsid w:val="002D4345"/>
    <w:rsid w:val="002F1C21"/>
    <w:rsid w:val="00303F08"/>
    <w:rsid w:val="00375384"/>
    <w:rsid w:val="003816FF"/>
    <w:rsid w:val="00385BEB"/>
    <w:rsid w:val="003C1716"/>
    <w:rsid w:val="003C3961"/>
    <w:rsid w:val="003F5D33"/>
    <w:rsid w:val="00403B74"/>
    <w:rsid w:val="00444C58"/>
    <w:rsid w:val="0044522C"/>
    <w:rsid w:val="004D3520"/>
    <w:rsid w:val="004D7D2E"/>
    <w:rsid w:val="00543628"/>
    <w:rsid w:val="005E2460"/>
    <w:rsid w:val="00605F29"/>
    <w:rsid w:val="00630F60"/>
    <w:rsid w:val="00663795"/>
    <w:rsid w:val="007119F1"/>
    <w:rsid w:val="00720909"/>
    <w:rsid w:val="00746929"/>
    <w:rsid w:val="007B0B30"/>
    <w:rsid w:val="00802DB1"/>
    <w:rsid w:val="0086048E"/>
    <w:rsid w:val="00912B20"/>
    <w:rsid w:val="009365C7"/>
    <w:rsid w:val="0095620D"/>
    <w:rsid w:val="00987D4B"/>
    <w:rsid w:val="00A52BFC"/>
    <w:rsid w:val="00A82745"/>
    <w:rsid w:val="00AA25F5"/>
    <w:rsid w:val="00AA7AEC"/>
    <w:rsid w:val="00B37658"/>
    <w:rsid w:val="00B44527"/>
    <w:rsid w:val="00C73767"/>
    <w:rsid w:val="00D16E45"/>
    <w:rsid w:val="00D57F75"/>
    <w:rsid w:val="00D84D73"/>
    <w:rsid w:val="00DA0200"/>
    <w:rsid w:val="00DF2B94"/>
    <w:rsid w:val="00E560A6"/>
    <w:rsid w:val="00EB4BAF"/>
    <w:rsid w:val="00F258BC"/>
    <w:rsid w:val="00F461F1"/>
    <w:rsid w:val="00FC2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57963"/>
  <w15:docId w15:val="{0EFEBF56-C1A3-4B8B-AC41-D70246E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520"/>
  </w:style>
  <w:style w:type="paragraph" w:styleId="Nagwek1">
    <w:name w:val="heading 1"/>
    <w:basedOn w:val="Normalny"/>
    <w:next w:val="Normalny"/>
    <w:link w:val="Nagwek1Znak"/>
    <w:uiPriority w:val="9"/>
    <w:qFormat/>
    <w:rsid w:val="004D7D2E"/>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paragraph" w:styleId="Nagwek2">
    <w:name w:val="heading 2"/>
    <w:basedOn w:val="Normalny"/>
    <w:next w:val="Normalny"/>
    <w:link w:val="Nagwek2Znak"/>
    <w:uiPriority w:val="9"/>
    <w:unhideWhenUsed/>
    <w:qFormat/>
    <w:rsid w:val="004D7D2E"/>
    <w:pPr>
      <w:keepNext/>
      <w:keepLines/>
      <w:numPr>
        <w:numId w:val="20"/>
      </w:numPr>
      <w:spacing w:before="40" w:after="0"/>
      <w:outlineLvl w:val="1"/>
    </w:pPr>
    <w:rPr>
      <w:rFonts w:asciiTheme="majorHAnsi" w:eastAsiaTheme="majorEastAsia" w:hAnsiTheme="majorHAnsi" w:cstheme="majorBidi"/>
      <w:color w:val="8F000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7D2E"/>
    <w:rPr>
      <w:rFonts w:asciiTheme="majorHAnsi" w:eastAsiaTheme="majorEastAsia" w:hAnsiTheme="majorHAnsi" w:cstheme="majorBidi"/>
      <w:color w:val="8F0000" w:themeColor="accent1" w:themeShade="BF"/>
      <w:sz w:val="32"/>
      <w:szCs w:val="32"/>
    </w:rPr>
  </w:style>
  <w:style w:type="character" w:customStyle="1" w:styleId="Nagwek2Znak">
    <w:name w:val="Nagłówek 2 Znak"/>
    <w:basedOn w:val="Domylnaczcionkaakapitu"/>
    <w:link w:val="Nagwek2"/>
    <w:uiPriority w:val="9"/>
    <w:rsid w:val="004D7D2E"/>
    <w:rPr>
      <w:rFonts w:asciiTheme="majorHAnsi" w:eastAsiaTheme="majorEastAsia" w:hAnsiTheme="majorHAnsi" w:cstheme="majorBidi"/>
      <w:color w:val="8F0000" w:themeColor="accent1" w:themeShade="BF"/>
      <w:sz w:val="26"/>
      <w:szCs w:val="26"/>
    </w:rPr>
  </w:style>
  <w:style w:type="paragraph" w:styleId="Nagwekspisutreci">
    <w:name w:val="TOC Heading"/>
    <w:basedOn w:val="Nagwek1"/>
    <w:next w:val="Normalny"/>
    <w:uiPriority w:val="39"/>
    <w:unhideWhenUsed/>
    <w:qFormat/>
    <w:rsid w:val="00055128"/>
    <w:pPr>
      <w:outlineLvl w:val="9"/>
    </w:pPr>
    <w:rPr>
      <w:lang w:eastAsia="pl-PL"/>
    </w:rPr>
  </w:style>
  <w:style w:type="paragraph" w:styleId="Spistreci1">
    <w:name w:val="toc 1"/>
    <w:basedOn w:val="Normalny"/>
    <w:next w:val="Normalny"/>
    <w:autoRedefine/>
    <w:uiPriority w:val="39"/>
    <w:unhideWhenUsed/>
    <w:rsid w:val="00055128"/>
    <w:pPr>
      <w:spacing w:after="100"/>
    </w:pPr>
  </w:style>
  <w:style w:type="paragraph" w:styleId="Spistreci2">
    <w:name w:val="toc 2"/>
    <w:basedOn w:val="Normalny"/>
    <w:next w:val="Normalny"/>
    <w:autoRedefine/>
    <w:uiPriority w:val="39"/>
    <w:unhideWhenUsed/>
    <w:rsid w:val="00055128"/>
    <w:pPr>
      <w:spacing w:after="100"/>
      <w:ind w:left="220"/>
    </w:pPr>
  </w:style>
  <w:style w:type="character" w:styleId="Hipercze">
    <w:name w:val="Hyperlink"/>
    <w:basedOn w:val="Domylnaczcionkaakapitu"/>
    <w:uiPriority w:val="99"/>
    <w:unhideWhenUsed/>
    <w:rsid w:val="00055128"/>
    <w:rPr>
      <w:color w:val="C00000" w:themeColor="hyperlink"/>
      <w:u w:val="single"/>
    </w:rPr>
  </w:style>
  <w:style w:type="paragraph" w:styleId="Spistreci3">
    <w:name w:val="toc 3"/>
    <w:basedOn w:val="Normalny"/>
    <w:next w:val="Normalny"/>
    <w:autoRedefine/>
    <w:uiPriority w:val="39"/>
    <w:unhideWhenUsed/>
    <w:rsid w:val="00D16E45"/>
    <w:pPr>
      <w:spacing w:after="100"/>
      <w:ind w:left="440"/>
    </w:pPr>
    <w:rPr>
      <w:rFonts w:eastAsiaTheme="minorEastAsia"/>
      <w:lang w:eastAsia="pl-PL"/>
    </w:rPr>
  </w:style>
  <w:style w:type="paragraph" w:styleId="Spistreci4">
    <w:name w:val="toc 4"/>
    <w:basedOn w:val="Normalny"/>
    <w:next w:val="Normalny"/>
    <w:autoRedefine/>
    <w:uiPriority w:val="39"/>
    <w:unhideWhenUsed/>
    <w:rsid w:val="00D16E45"/>
    <w:pPr>
      <w:spacing w:after="100"/>
      <w:ind w:left="660"/>
    </w:pPr>
    <w:rPr>
      <w:rFonts w:eastAsiaTheme="minorEastAsia"/>
      <w:lang w:eastAsia="pl-PL"/>
    </w:rPr>
  </w:style>
  <w:style w:type="paragraph" w:styleId="Spistreci5">
    <w:name w:val="toc 5"/>
    <w:basedOn w:val="Normalny"/>
    <w:next w:val="Normalny"/>
    <w:autoRedefine/>
    <w:uiPriority w:val="39"/>
    <w:unhideWhenUsed/>
    <w:rsid w:val="00D16E45"/>
    <w:pPr>
      <w:spacing w:after="100"/>
      <w:ind w:left="880"/>
    </w:pPr>
    <w:rPr>
      <w:rFonts w:eastAsiaTheme="minorEastAsia"/>
      <w:lang w:eastAsia="pl-PL"/>
    </w:rPr>
  </w:style>
  <w:style w:type="paragraph" w:styleId="Spistreci6">
    <w:name w:val="toc 6"/>
    <w:basedOn w:val="Normalny"/>
    <w:next w:val="Normalny"/>
    <w:autoRedefine/>
    <w:uiPriority w:val="39"/>
    <w:unhideWhenUsed/>
    <w:rsid w:val="00D16E45"/>
    <w:pPr>
      <w:spacing w:after="100"/>
      <w:ind w:left="1100"/>
    </w:pPr>
    <w:rPr>
      <w:rFonts w:eastAsiaTheme="minorEastAsia"/>
      <w:lang w:eastAsia="pl-PL"/>
    </w:rPr>
  </w:style>
  <w:style w:type="paragraph" w:styleId="Spistreci7">
    <w:name w:val="toc 7"/>
    <w:basedOn w:val="Normalny"/>
    <w:next w:val="Normalny"/>
    <w:autoRedefine/>
    <w:uiPriority w:val="39"/>
    <w:unhideWhenUsed/>
    <w:rsid w:val="00D16E45"/>
    <w:pPr>
      <w:spacing w:after="100"/>
      <w:ind w:left="1320"/>
    </w:pPr>
    <w:rPr>
      <w:rFonts w:eastAsiaTheme="minorEastAsia"/>
      <w:lang w:eastAsia="pl-PL"/>
    </w:rPr>
  </w:style>
  <w:style w:type="paragraph" w:styleId="Spistreci8">
    <w:name w:val="toc 8"/>
    <w:basedOn w:val="Normalny"/>
    <w:next w:val="Normalny"/>
    <w:autoRedefine/>
    <w:uiPriority w:val="39"/>
    <w:unhideWhenUsed/>
    <w:rsid w:val="00D16E45"/>
    <w:pPr>
      <w:spacing w:after="100"/>
      <w:ind w:left="1540"/>
    </w:pPr>
    <w:rPr>
      <w:rFonts w:eastAsiaTheme="minorEastAsia"/>
      <w:lang w:eastAsia="pl-PL"/>
    </w:rPr>
  </w:style>
  <w:style w:type="paragraph" w:styleId="Spistreci9">
    <w:name w:val="toc 9"/>
    <w:basedOn w:val="Normalny"/>
    <w:next w:val="Normalny"/>
    <w:autoRedefine/>
    <w:uiPriority w:val="39"/>
    <w:unhideWhenUsed/>
    <w:rsid w:val="00D16E45"/>
    <w:pPr>
      <w:spacing w:after="100"/>
      <w:ind w:left="1760"/>
    </w:pPr>
    <w:rPr>
      <w:rFonts w:eastAsiaTheme="minorEastAsia"/>
      <w:lang w:eastAsia="pl-PL"/>
    </w:rPr>
  </w:style>
  <w:style w:type="character" w:customStyle="1" w:styleId="Nierozpoznanawzmianka1">
    <w:name w:val="Nierozpoznana wzmianka1"/>
    <w:basedOn w:val="Domylnaczcionkaakapitu"/>
    <w:uiPriority w:val="99"/>
    <w:semiHidden/>
    <w:unhideWhenUsed/>
    <w:rsid w:val="00D16E45"/>
    <w:rPr>
      <w:color w:val="605E5C"/>
      <w:shd w:val="clear" w:color="auto" w:fill="E1DFDD"/>
    </w:rPr>
  </w:style>
  <w:style w:type="paragraph" w:styleId="Tekstdymka">
    <w:name w:val="Balloon Text"/>
    <w:basedOn w:val="Normalny"/>
    <w:link w:val="TekstdymkaZnak"/>
    <w:uiPriority w:val="99"/>
    <w:semiHidden/>
    <w:unhideWhenUsed/>
    <w:rsid w:val="002F1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21"/>
    <w:rPr>
      <w:rFonts w:ascii="Segoe UI" w:hAnsi="Segoe UI" w:cs="Segoe UI"/>
      <w:sz w:val="18"/>
      <w:szCs w:val="18"/>
    </w:rPr>
  </w:style>
  <w:style w:type="paragraph" w:styleId="Akapitzlist">
    <w:name w:val="List Paragraph"/>
    <w:aliases w:val="HŁ_Bullet1,lp1"/>
    <w:basedOn w:val="Normalny"/>
    <w:link w:val="AkapitzlistZnak"/>
    <w:uiPriority w:val="34"/>
    <w:qFormat/>
    <w:rsid w:val="002F1C21"/>
    <w:pPr>
      <w:ind w:left="720"/>
      <w:contextualSpacing/>
    </w:pPr>
  </w:style>
  <w:style w:type="paragraph" w:customStyle="1" w:styleId="Default">
    <w:name w:val="Default"/>
    <w:rsid w:val="00543628"/>
    <w:pPr>
      <w:autoSpaceDE w:val="0"/>
      <w:autoSpaceDN w:val="0"/>
      <w:adjustRightInd w:val="0"/>
      <w:spacing w:after="0" w:line="240" w:lineRule="auto"/>
    </w:pPr>
    <w:rPr>
      <w:rFonts w:ascii="Novel Pro" w:hAnsi="Novel Pro" w:cs="Novel Pro"/>
      <w:color w:val="000000"/>
      <w:sz w:val="24"/>
      <w:szCs w:val="24"/>
    </w:rPr>
  </w:style>
  <w:style w:type="character" w:customStyle="1" w:styleId="AkapitzlistZnak">
    <w:name w:val="Akapit z listą Znak"/>
    <w:aliases w:val="HŁ_Bullet1 Znak,lp1 Znak"/>
    <w:link w:val="Akapitzlist"/>
    <w:uiPriority w:val="34"/>
    <w:locked/>
    <w:rsid w:val="00802DB1"/>
  </w:style>
  <w:style w:type="character" w:styleId="UyteHipercze">
    <w:name w:val="FollowedHyperlink"/>
    <w:basedOn w:val="Domylnaczcionkaakapitu"/>
    <w:uiPriority w:val="99"/>
    <w:semiHidden/>
    <w:unhideWhenUsed/>
    <w:rsid w:val="00AA25F5"/>
    <w:rPr>
      <w:color w:val="954F72" w:themeColor="followedHyperlink"/>
      <w:u w:val="single"/>
    </w:rPr>
  </w:style>
  <w:style w:type="paragraph" w:styleId="Nagwek">
    <w:name w:val="header"/>
    <w:basedOn w:val="Normalny"/>
    <w:link w:val="NagwekZnak"/>
    <w:uiPriority w:val="99"/>
    <w:unhideWhenUsed/>
    <w:rsid w:val="005E2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460"/>
  </w:style>
  <w:style w:type="paragraph" w:styleId="Stopka">
    <w:name w:val="footer"/>
    <w:basedOn w:val="Normalny"/>
    <w:link w:val="StopkaZnak"/>
    <w:uiPriority w:val="99"/>
    <w:unhideWhenUsed/>
    <w:rsid w:val="005E2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460"/>
  </w:style>
  <w:style w:type="paragraph" w:styleId="Zwykytekst">
    <w:name w:val="Plain Text"/>
    <w:basedOn w:val="Normalny"/>
    <w:link w:val="ZwykytekstZnak"/>
    <w:uiPriority w:val="99"/>
    <w:unhideWhenUsed/>
    <w:rsid w:val="004D352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4D3520"/>
    <w:rPr>
      <w:rFonts w:ascii="Calibri" w:hAnsi="Calibri" w:cs="Calibri"/>
    </w:rPr>
  </w:style>
  <w:style w:type="paragraph" w:styleId="NormalnyWeb">
    <w:name w:val="Normal (Web)"/>
    <w:basedOn w:val="Normalny"/>
    <w:uiPriority w:val="99"/>
    <w:unhideWhenUsed/>
    <w:rsid w:val="004D35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7551">
      <w:bodyDiv w:val="1"/>
      <w:marLeft w:val="0"/>
      <w:marRight w:val="0"/>
      <w:marTop w:val="0"/>
      <w:marBottom w:val="0"/>
      <w:divBdr>
        <w:top w:val="none" w:sz="0" w:space="0" w:color="auto"/>
        <w:left w:val="none" w:sz="0" w:space="0" w:color="auto"/>
        <w:bottom w:val="none" w:sz="0" w:space="0" w:color="auto"/>
        <w:right w:val="none" w:sz="0" w:space="0" w:color="auto"/>
      </w:divBdr>
      <w:divsChild>
        <w:div w:id="382366188">
          <w:marLeft w:val="0"/>
          <w:marRight w:val="0"/>
          <w:marTop w:val="0"/>
          <w:marBottom w:val="0"/>
          <w:divBdr>
            <w:top w:val="none" w:sz="0" w:space="0" w:color="auto"/>
            <w:left w:val="none" w:sz="0" w:space="0" w:color="auto"/>
            <w:bottom w:val="none" w:sz="0" w:space="0" w:color="auto"/>
            <w:right w:val="none" w:sz="0" w:space="0" w:color="auto"/>
          </w:divBdr>
        </w:div>
      </w:divsChild>
    </w:div>
    <w:div w:id="1137263245">
      <w:bodyDiv w:val="1"/>
      <w:marLeft w:val="0"/>
      <w:marRight w:val="0"/>
      <w:marTop w:val="0"/>
      <w:marBottom w:val="0"/>
      <w:divBdr>
        <w:top w:val="none" w:sz="0" w:space="0" w:color="auto"/>
        <w:left w:val="none" w:sz="0" w:space="0" w:color="auto"/>
        <w:bottom w:val="none" w:sz="0" w:space="0" w:color="auto"/>
        <w:right w:val="none" w:sz="0" w:space="0" w:color="auto"/>
      </w:divBdr>
      <w:divsChild>
        <w:div w:id="959459460">
          <w:marLeft w:val="0"/>
          <w:marRight w:val="0"/>
          <w:marTop w:val="0"/>
          <w:marBottom w:val="0"/>
          <w:divBdr>
            <w:top w:val="none" w:sz="0" w:space="0" w:color="auto"/>
            <w:left w:val="none" w:sz="0" w:space="0" w:color="auto"/>
            <w:bottom w:val="none" w:sz="0" w:space="0" w:color="auto"/>
            <w:right w:val="none" w:sz="0" w:space="0" w:color="auto"/>
          </w:divBdr>
        </w:div>
      </w:divsChild>
    </w:div>
    <w:div w:id="1483308763">
      <w:bodyDiv w:val="1"/>
      <w:marLeft w:val="0"/>
      <w:marRight w:val="0"/>
      <w:marTop w:val="0"/>
      <w:marBottom w:val="0"/>
      <w:divBdr>
        <w:top w:val="none" w:sz="0" w:space="0" w:color="auto"/>
        <w:left w:val="none" w:sz="0" w:space="0" w:color="auto"/>
        <w:bottom w:val="none" w:sz="0" w:space="0" w:color="auto"/>
        <w:right w:val="none" w:sz="0" w:space="0" w:color="auto"/>
      </w:divBdr>
      <w:divsChild>
        <w:div w:id="1360617421">
          <w:marLeft w:val="0"/>
          <w:marRight w:val="0"/>
          <w:marTop w:val="0"/>
          <w:marBottom w:val="0"/>
          <w:divBdr>
            <w:top w:val="none" w:sz="0" w:space="0" w:color="auto"/>
            <w:left w:val="none" w:sz="0" w:space="0" w:color="auto"/>
            <w:bottom w:val="none" w:sz="0" w:space="0" w:color="auto"/>
            <w:right w:val="none" w:sz="0" w:space="0" w:color="auto"/>
          </w:divBdr>
        </w:div>
      </w:divsChild>
    </w:div>
    <w:div w:id="15908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tarcza-finansowa-pfr/tarcza-finansowa-pfr-dla-mms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stat.gov.pl/dzialalnosc-statystyki-publicznej/rejestr-regon/" TargetMode="External"/><Relationship Id="rId4" Type="http://schemas.openxmlformats.org/officeDocument/2006/relationships/settings" Target="settings.xml"/><Relationship Id="rId9" Type="http://schemas.openxmlformats.org/officeDocument/2006/relationships/hyperlink" Target="https://pfrsa.pl/dam/jcr:997d60c7-2f85-493a-b79b-a66e32af04b5/tarcza-pfr-okreslanie-liczby-pracowniko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C00000"/>
      </a:accent5>
      <a:accent6>
        <a:srgbClr val="70AD47"/>
      </a:accent6>
      <a:hlink>
        <a:srgbClr val="C0000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5B07-880C-419D-BA11-7D8CE8CD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Maciocha</dc:creator>
  <cp:lastModifiedBy>Arkadiusz Trusz</cp:lastModifiedBy>
  <cp:revision>2</cp:revision>
  <dcterms:created xsi:type="dcterms:W3CDTF">2020-05-08T11:06:00Z</dcterms:created>
  <dcterms:modified xsi:type="dcterms:W3CDTF">2020-05-08T11:06:00Z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BANK\Agnieszka.Chrobot;Agnieszka Chrobot-Barbrich</vt:lpwstr>
  </property>
  <property fmtid="{D5CDD505-2E9C-101B-9397-08002B2CF9AE}" pid="4" name="BPSClassificationDate">
    <vt:lpwstr>2020-04-30T15:53:17.1598994+02:00</vt:lpwstr>
  </property>
  <property fmtid="{D5CDD505-2E9C-101B-9397-08002B2CF9AE}" pid="5" name="BPSClassifiedBySID">
    <vt:lpwstr>BANK\S-1-5-21-2235066060-4034229115-1914166231-32514</vt:lpwstr>
  </property>
  <property fmtid="{D5CDD505-2E9C-101B-9397-08002B2CF9AE}" pid="6" name="BPSGRNItemId">
    <vt:lpwstr>GRN-dea89046-b52a-4f59-a5df-89f79bf61019</vt:lpwstr>
  </property>
</Properties>
</file>